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088" w:type="dxa"/>
        <w:jc w:val="center"/>
        <w:tblLayout w:type="fixed"/>
        <w:tblLook w:val="01E0" w:firstRow="1" w:lastRow="1" w:firstColumn="1" w:lastColumn="1" w:noHBand="0" w:noVBand="0"/>
      </w:tblPr>
      <w:tblGrid>
        <w:gridCol w:w="4087"/>
        <w:gridCol w:w="1909"/>
        <w:gridCol w:w="4092"/>
      </w:tblGrid>
      <w:tr w:rsidR="009B22B7" w:rsidRPr="004B4614" w:rsidTr="00EC4D1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B22B7" w:rsidRPr="004B4614" w:rsidRDefault="009B22B7" w:rsidP="00EC4D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4614">
              <w:rPr>
                <w:rFonts w:asciiTheme="minorHAnsi" w:hAnsiTheme="minorHAnsi" w:cstheme="minorHAnsi"/>
                <w:sz w:val="18"/>
                <w:szCs w:val="18"/>
              </w:rPr>
              <w:t>REPUBLIKA HRVATSKA</w:t>
            </w:r>
          </w:p>
        </w:tc>
        <w:tc>
          <w:tcPr>
            <w:tcW w:w="1909" w:type="dxa"/>
            <w:vMerge w:val="restart"/>
            <w:shd w:val="clear" w:color="auto" w:fill="auto"/>
          </w:tcPr>
          <w:p w:rsidR="009B22B7" w:rsidRPr="004B4614" w:rsidRDefault="009B22B7" w:rsidP="00EC4D14">
            <w:pPr>
              <w:jc w:val="center"/>
              <w:rPr>
                <w:rFonts w:asciiTheme="minorHAnsi" w:hAnsiTheme="minorHAnsi" w:cstheme="minorHAnsi"/>
              </w:rPr>
            </w:pPr>
            <w:r w:rsidRPr="004B4614">
              <w:rPr>
                <w:rFonts w:asciiTheme="minorHAnsi" w:hAnsiTheme="minorHAnsi" w:cstheme="minorHAnsi"/>
                <w:noProof/>
                <w:sz w:val="20"/>
              </w:rPr>
              <w:drawing>
                <wp:inline distT="0" distB="0" distL="0" distR="0" wp14:anchorId="20CBB2DF" wp14:editId="4199EA48">
                  <wp:extent cx="533400" cy="876300"/>
                  <wp:effectExtent l="0" t="0" r="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92" w:type="dxa"/>
            <w:vMerge w:val="restart"/>
            <w:shd w:val="clear" w:color="auto" w:fill="auto"/>
            <w:vAlign w:val="center"/>
          </w:tcPr>
          <w:p w:rsidR="009B22B7" w:rsidRPr="004B4614" w:rsidRDefault="009B22B7" w:rsidP="00EC4D14">
            <w:pPr>
              <w:rPr>
                <w:rFonts w:asciiTheme="minorHAnsi" w:hAnsiTheme="minorHAnsi" w:cstheme="minorHAnsi"/>
                <w:b/>
                <w:i/>
              </w:rPr>
            </w:pPr>
            <w:r w:rsidRPr="004B461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 xml:space="preserve"> </w:t>
            </w:r>
            <w:r w:rsidRPr="004B4614">
              <w:rPr>
                <w:rFonts w:asciiTheme="minorHAnsi" w:hAnsiTheme="minorHAnsi" w:cstheme="minorHAnsi"/>
                <w:b/>
                <w:i/>
              </w:rPr>
              <w:t>Godišnje</w:t>
            </w:r>
          </w:p>
          <w:p w:rsidR="009B22B7" w:rsidRPr="004B4614" w:rsidRDefault="009B22B7" w:rsidP="00EC4D14">
            <w:pPr>
              <w:jc w:val="center"/>
              <w:rPr>
                <w:rFonts w:asciiTheme="minorHAnsi" w:hAnsiTheme="minorHAnsi" w:cstheme="minorHAnsi"/>
              </w:rPr>
            </w:pPr>
            <w:r w:rsidRPr="004B4614"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  <w:t>PRIOPĆENJE</w:t>
            </w:r>
          </w:p>
        </w:tc>
      </w:tr>
      <w:tr w:rsidR="009B22B7" w:rsidRPr="004B4614" w:rsidTr="00EC4D14">
        <w:trPr>
          <w:trHeight w:val="298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B22B7" w:rsidRPr="004B4614" w:rsidRDefault="009B22B7" w:rsidP="00EC4D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4614">
              <w:rPr>
                <w:rFonts w:asciiTheme="minorHAnsi" w:hAnsiTheme="minorHAnsi" w:cstheme="minorHAnsi"/>
                <w:sz w:val="18"/>
                <w:szCs w:val="18"/>
              </w:rPr>
              <w:t>GRAD ZAGREB</w:t>
            </w:r>
          </w:p>
        </w:tc>
        <w:tc>
          <w:tcPr>
            <w:tcW w:w="1909" w:type="dxa"/>
            <w:vMerge/>
            <w:shd w:val="clear" w:color="auto" w:fill="auto"/>
          </w:tcPr>
          <w:p w:rsidR="009B22B7" w:rsidRPr="004B4614" w:rsidRDefault="009B22B7" w:rsidP="00EC4D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B22B7" w:rsidRPr="004B4614" w:rsidRDefault="009B22B7" w:rsidP="00EC4D14">
            <w:pPr>
              <w:jc w:val="center"/>
              <w:rPr>
                <w:rFonts w:asciiTheme="minorHAnsi" w:hAnsiTheme="minorHAnsi" w:cstheme="minorHAnsi"/>
                <w:b/>
                <w:i/>
                <w:sz w:val="48"/>
                <w:szCs w:val="48"/>
              </w:rPr>
            </w:pPr>
          </w:p>
        </w:tc>
      </w:tr>
      <w:tr w:rsidR="009B22B7" w:rsidRPr="004B4614" w:rsidTr="00EC4D14">
        <w:trPr>
          <w:trHeight w:val="416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2E5C2C" w:rsidRDefault="009B22B7" w:rsidP="00EC4D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4614">
              <w:rPr>
                <w:rFonts w:asciiTheme="minorHAnsi" w:hAnsiTheme="minorHAnsi" w:cstheme="minorHAnsi"/>
                <w:sz w:val="18"/>
                <w:szCs w:val="18"/>
              </w:rPr>
              <w:t xml:space="preserve">GRADSKI URED ZA STRATEGIJSKO </w:t>
            </w:r>
          </w:p>
          <w:p w:rsidR="009B22B7" w:rsidRPr="004B4614" w:rsidRDefault="009B22B7" w:rsidP="00EC4D1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B4614">
              <w:rPr>
                <w:rFonts w:asciiTheme="minorHAnsi" w:hAnsiTheme="minorHAnsi" w:cstheme="minorHAnsi"/>
                <w:sz w:val="18"/>
                <w:szCs w:val="18"/>
              </w:rPr>
              <w:t>PLANIRANJE I RAZVOJ GRADA</w:t>
            </w:r>
          </w:p>
        </w:tc>
        <w:tc>
          <w:tcPr>
            <w:tcW w:w="1909" w:type="dxa"/>
            <w:vMerge/>
            <w:shd w:val="clear" w:color="auto" w:fill="auto"/>
          </w:tcPr>
          <w:p w:rsidR="009B22B7" w:rsidRPr="004B4614" w:rsidRDefault="009B22B7" w:rsidP="00EC4D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B22B7" w:rsidRPr="004B4614" w:rsidRDefault="009B22B7" w:rsidP="00EC4D14">
            <w:pPr>
              <w:rPr>
                <w:rFonts w:asciiTheme="minorHAnsi" w:hAnsiTheme="minorHAnsi" w:cstheme="minorHAnsi"/>
              </w:rPr>
            </w:pPr>
          </w:p>
        </w:tc>
      </w:tr>
      <w:tr w:rsidR="009B22B7" w:rsidRPr="004B4614" w:rsidTr="00EC4D14">
        <w:trPr>
          <w:trHeight w:val="440"/>
          <w:jc w:val="center"/>
        </w:trPr>
        <w:tc>
          <w:tcPr>
            <w:tcW w:w="4087" w:type="dxa"/>
            <w:shd w:val="clear" w:color="auto" w:fill="auto"/>
            <w:vAlign w:val="center"/>
          </w:tcPr>
          <w:p w:rsidR="009B22B7" w:rsidRPr="004B4614" w:rsidRDefault="009B22B7" w:rsidP="00EC4D14">
            <w:pPr>
              <w:jc w:val="center"/>
              <w:rPr>
                <w:rFonts w:asciiTheme="minorHAnsi" w:hAnsiTheme="minorHAnsi" w:cstheme="minorHAnsi"/>
                <w:b/>
                <w:i/>
              </w:rPr>
            </w:pPr>
            <w:r w:rsidRPr="004B4614">
              <w:rPr>
                <w:rFonts w:asciiTheme="minorHAnsi" w:hAnsiTheme="minorHAnsi" w:cstheme="minorHAnsi"/>
                <w:b/>
                <w:i/>
              </w:rPr>
              <w:t>Odjel za statistiku</w:t>
            </w:r>
          </w:p>
        </w:tc>
        <w:tc>
          <w:tcPr>
            <w:tcW w:w="1909" w:type="dxa"/>
            <w:vMerge/>
            <w:shd w:val="clear" w:color="auto" w:fill="auto"/>
          </w:tcPr>
          <w:p w:rsidR="009B22B7" w:rsidRPr="004B4614" w:rsidRDefault="009B22B7" w:rsidP="00EC4D14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4092" w:type="dxa"/>
            <w:vMerge/>
            <w:shd w:val="clear" w:color="auto" w:fill="auto"/>
          </w:tcPr>
          <w:p w:rsidR="009B22B7" w:rsidRPr="004B4614" w:rsidRDefault="009B22B7" w:rsidP="00EC4D14">
            <w:pPr>
              <w:rPr>
                <w:rFonts w:asciiTheme="minorHAnsi" w:hAnsiTheme="minorHAnsi" w:cstheme="minorHAnsi"/>
              </w:rPr>
            </w:pPr>
          </w:p>
        </w:tc>
      </w:tr>
    </w:tbl>
    <w:p w:rsidR="009B22B7" w:rsidRPr="004B4614" w:rsidRDefault="009B22B7" w:rsidP="009B22B7">
      <w:pPr>
        <w:spacing w:line="180" w:lineRule="exact"/>
        <w:rPr>
          <w:rFonts w:asciiTheme="minorHAnsi" w:hAnsiTheme="minorHAnsi" w:cstheme="minorHAnsi"/>
        </w:rPr>
      </w:pPr>
    </w:p>
    <w:p w:rsidR="009B22B7" w:rsidRPr="004B4614" w:rsidRDefault="009B22B7" w:rsidP="009B22B7">
      <w:pPr>
        <w:suppressAutoHyphens/>
        <w:spacing w:line="216" w:lineRule="exact"/>
        <w:jc w:val="both"/>
        <w:rPr>
          <w:rFonts w:asciiTheme="minorHAnsi" w:hAnsiTheme="minorHAnsi" w:cstheme="minorHAnsi"/>
          <w:spacing w:val="-2"/>
          <w:sz w:val="19"/>
        </w:rPr>
      </w:pPr>
      <w:r w:rsidRPr="004B4614">
        <w:rPr>
          <w:rFonts w:asciiTheme="minorHAnsi" w:hAnsiTheme="minorHAnsi" w:cstheme="minorHAnsi"/>
          <w:spacing w:val="-2"/>
          <w:sz w:val="19"/>
        </w:rPr>
        <w:t>ZAGREB, Sv. ĆIRILA I METODA 5</w:t>
      </w:r>
      <w:r w:rsidRPr="004B4614">
        <w:rPr>
          <w:rFonts w:asciiTheme="minorHAnsi" w:hAnsiTheme="minorHAnsi" w:cstheme="minorHAnsi"/>
          <w:spacing w:val="-2"/>
          <w:sz w:val="19"/>
        </w:rPr>
        <w:tab/>
      </w:r>
      <w:r w:rsidR="004B4614">
        <w:rPr>
          <w:rFonts w:asciiTheme="minorHAnsi" w:hAnsiTheme="minorHAnsi" w:cstheme="minorHAnsi"/>
          <w:spacing w:val="-2"/>
          <w:sz w:val="19"/>
        </w:rPr>
        <w:t xml:space="preserve">      </w:t>
      </w:r>
      <w:r w:rsidRPr="004B4614">
        <w:rPr>
          <w:rFonts w:asciiTheme="minorHAnsi" w:hAnsiTheme="minorHAnsi" w:cstheme="minorHAnsi"/>
          <w:spacing w:val="-2"/>
          <w:sz w:val="19"/>
        </w:rPr>
        <w:t>TELEFON: 01/610-1950</w:t>
      </w:r>
      <w:r w:rsidRPr="004B4614">
        <w:rPr>
          <w:rFonts w:asciiTheme="minorHAnsi" w:hAnsiTheme="minorHAnsi" w:cstheme="minorHAnsi"/>
          <w:spacing w:val="-2"/>
          <w:sz w:val="19"/>
        </w:rPr>
        <w:tab/>
      </w:r>
      <w:r w:rsidR="004B4614">
        <w:rPr>
          <w:rFonts w:asciiTheme="minorHAnsi" w:hAnsiTheme="minorHAnsi" w:cstheme="minorHAnsi"/>
          <w:spacing w:val="-2"/>
          <w:sz w:val="19"/>
        </w:rPr>
        <w:t xml:space="preserve">            </w:t>
      </w:r>
      <w:r w:rsidRPr="004B4614">
        <w:rPr>
          <w:rFonts w:asciiTheme="minorHAnsi" w:hAnsiTheme="minorHAnsi" w:cstheme="minorHAnsi"/>
          <w:spacing w:val="-2"/>
          <w:sz w:val="19"/>
        </w:rPr>
        <w:t>TELEFAX: 01/485-1442</w:t>
      </w:r>
      <w:r w:rsidRPr="004B4614">
        <w:rPr>
          <w:rFonts w:asciiTheme="minorHAnsi" w:hAnsiTheme="minorHAnsi" w:cstheme="minorHAnsi"/>
          <w:spacing w:val="-2"/>
          <w:sz w:val="19"/>
        </w:rPr>
        <w:tab/>
      </w:r>
      <w:r w:rsidRPr="004B4614">
        <w:rPr>
          <w:rFonts w:asciiTheme="minorHAnsi" w:hAnsiTheme="minorHAnsi" w:cstheme="minorHAnsi"/>
          <w:spacing w:val="-2"/>
          <w:sz w:val="19"/>
        </w:rPr>
        <w:tab/>
      </w:r>
      <w:r w:rsidRPr="004B4614">
        <w:rPr>
          <w:rFonts w:asciiTheme="minorHAnsi" w:hAnsiTheme="minorHAnsi" w:cstheme="minorHAnsi"/>
          <w:spacing w:val="-2"/>
          <w:sz w:val="19"/>
        </w:rPr>
        <w:tab/>
      </w:r>
      <w:r w:rsidR="00EC4D14">
        <w:rPr>
          <w:rFonts w:asciiTheme="minorHAnsi" w:hAnsiTheme="minorHAnsi" w:cstheme="minorHAnsi"/>
          <w:spacing w:val="-2"/>
          <w:sz w:val="19"/>
        </w:rPr>
        <w:t>22</w:t>
      </w:r>
      <w:r w:rsidRPr="004B4614">
        <w:rPr>
          <w:rFonts w:asciiTheme="minorHAnsi" w:hAnsiTheme="minorHAnsi" w:cstheme="minorHAnsi"/>
          <w:spacing w:val="-2"/>
          <w:sz w:val="19"/>
        </w:rPr>
        <w:t>. 0</w:t>
      </w:r>
      <w:r w:rsidR="00504E1A">
        <w:rPr>
          <w:rFonts w:asciiTheme="minorHAnsi" w:hAnsiTheme="minorHAnsi" w:cstheme="minorHAnsi"/>
          <w:spacing w:val="-2"/>
          <w:sz w:val="19"/>
        </w:rPr>
        <w:t>2</w:t>
      </w:r>
      <w:r w:rsidRPr="004B4614">
        <w:rPr>
          <w:rFonts w:asciiTheme="minorHAnsi" w:hAnsiTheme="minorHAnsi" w:cstheme="minorHAnsi"/>
          <w:spacing w:val="-2"/>
          <w:sz w:val="19"/>
        </w:rPr>
        <w:t>. 201</w:t>
      </w:r>
      <w:r w:rsidR="00EC4D14">
        <w:rPr>
          <w:rFonts w:asciiTheme="minorHAnsi" w:hAnsiTheme="minorHAnsi" w:cstheme="minorHAnsi"/>
          <w:spacing w:val="-2"/>
          <w:sz w:val="19"/>
        </w:rPr>
        <w:t>7</w:t>
      </w:r>
      <w:r w:rsidRPr="004B4614">
        <w:rPr>
          <w:rFonts w:asciiTheme="minorHAnsi" w:hAnsiTheme="minorHAnsi" w:cstheme="minorHAnsi"/>
          <w:spacing w:val="-2"/>
          <w:sz w:val="19"/>
        </w:rPr>
        <w:t>.</w:t>
      </w:r>
    </w:p>
    <w:tbl>
      <w:tblPr>
        <w:tblW w:w="0" w:type="auto"/>
        <w:tblInd w:w="10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shd w:val="clear" w:color="auto" w:fill="DDDDDD"/>
        <w:tblLayout w:type="fixed"/>
        <w:tblLook w:val="01E0" w:firstRow="1" w:lastRow="1" w:firstColumn="1" w:lastColumn="1" w:noHBand="0" w:noVBand="0"/>
      </w:tblPr>
      <w:tblGrid>
        <w:gridCol w:w="10260"/>
      </w:tblGrid>
      <w:tr w:rsidR="009B22B7" w:rsidRPr="004B4614" w:rsidTr="00EC4D14">
        <w:trPr>
          <w:trHeight w:val="454"/>
        </w:trPr>
        <w:tc>
          <w:tcPr>
            <w:tcW w:w="10260" w:type="dxa"/>
            <w:shd w:val="clear" w:color="auto" w:fill="DDDDDD"/>
            <w:vAlign w:val="center"/>
          </w:tcPr>
          <w:p w:rsidR="009B22B7" w:rsidRPr="004B4614" w:rsidRDefault="009B22B7" w:rsidP="00EC4D14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4B4614">
              <w:rPr>
                <w:rFonts w:asciiTheme="minorHAnsi" w:hAnsiTheme="minorHAnsi" w:cstheme="minorHAnsi"/>
                <w:b/>
              </w:rPr>
              <w:t>B R U T O  D O M A Ć I  P R O I Z V O D</w:t>
            </w:r>
          </w:p>
        </w:tc>
      </w:tr>
    </w:tbl>
    <w:p w:rsidR="009B22B7" w:rsidRPr="004B4614" w:rsidRDefault="009B22B7" w:rsidP="009B22B7">
      <w:pPr>
        <w:rPr>
          <w:rFonts w:asciiTheme="minorHAnsi" w:hAnsiTheme="minorHAnsi" w:cstheme="minorHAnsi"/>
          <w:b/>
        </w:rPr>
      </w:pPr>
      <w:r w:rsidRPr="004B4614">
        <w:rPr>
          <w:rFonts w:asciiTheme="minorHAnsi" w:hAnsiTheme="minorHAnsi" w:cstheme="minorHAnsi"/>
          <w:sz w:val="20"/>
          <w:szCs w:val="20"/>
        </w:rPr>
        <w:t>www.zagreb.hr</w:t>
      </w:r>
      <w:r w:rsidRPr="004B4614">
        <w:rPr>
          <w:rFonts w:asciiTheme="minorHAnsi" w:hAnsiTheme="minorHAnsi" w:cstheme="minorHAnsi"/>
          <w:b/>
        </w:rPr>
        <w:t xml:space="preserve"> </w:t>
      </w:r>
    </w:p>
    <w:p w:rsidR="009C4F27" w:rsidRDefault="00032B08" w:rsidP="00032B08">
      <w:pPr>
        <w:jc w:val="right"/>
        <w:outlineLvl w:val="0"/>
        <w:rPr>
          <w:b/>
          <w:sz w:val="22"/>
          <w:szCs w:val="22"/>
        </w:rPr>
      </w:pPr>
      <w:r>
        <w:rPr>
          <w:b/>
          <w:sz w:val="22"/>
          <w:szCs w:val="22"/>
        </w:rPr>
        <w:t>201</w:t>
      </w:r>
      <w:r w:rsidR="00B63EFE">
        <w:rPr>
          <w:b/>
          <w:sz w:val="22"/>
          <w:szCs w:val="22"/>
        </w:rPr>
        <w:t>4</w:t>
      </w:r>
      <w:r>
        <w:rPr>
          <w:b/>
          <w:sz w:val="22"/>
          <w:szCs w:val="22"/>
        </w:rPr>
        <w:t>.</w:t>
      </w:r>
    </w:p>
    <w:p w:rsidR="009C4F27" w:rsidRDefault="009C4F27" w:rsidP="00893BE7">
      <w:pPr>
        <w:jc w:val="center"/>
        <w:outlineLvl w:val="0"/>
        <w:rPr>
          <w:b/>
          <w:sz w:val="22"/>
          <w:szCs w:val="22"/>
        </w:rPr>
      </w:pPr>
    </w:p>
    <w:p w:rsidR="00D14DF9" w:rsidRDefault="00D14DF9" w:rsidP="00CD414A">
      <w:pPr>
        <w:jc w:val="center"/>
        <w:outlineLvl w:val="0"/>
        <w:rPr>
          <w:b/>
          <w:sz w:val="22"/>
          <w:szCs w:val="22"/>
        </w:rPr>
      </w:pPr>
    </w:p>
    <w:p w:rsidR="00EC4D14" w:rsidRPr="00EC4D14" w:rsidRDefault="00EC4D14" w:rsidP="00EC4D14">
      <w:pPr>
        <w:widowControl w:val="0"/>
        <w:suppressAutoHyphens/>
        <w:jc w:val="center"/>
        <w:outlineLvl w:val="0"/>
        <w:rPr>
          <w:rFonts w:asciiTheme="minorHAnsi" w:hAnsiTheme="minorHAnsi" w:cstheme="minorHAnsi"/>
          <w:spacing w:val="-2"/>
          <w:sz w:val="20"/>
          <w:szCs w:val="20"/>
          <w:lang w:eastAsia="en-US"/>
        </w:rPr>
      </w:pP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BRUTO DOMAĆI PROIZVOD</w:t>
      </w:r>
    </w:p>
    <w:p w:rsidR="00EC4D14" w:rsidRPr="00EC4D14" w:rsidRDefault="00EC4D14" w:rsidP="00EC4D14">
      <w:pPr>
        <w:widowControl w:val="0"/>
        <w:suppressAutoHyphens/>
        <w:jc w:val="center"/>
        <w:outlineLvl w:val="0"/>
        <w:rPr>
          <w:rFonts w:asciiTheme="minorHAnsi" w:hAnsiTheme="minorHAnsi" w:cstheme="minorHAnsi"/>
          <w:spacing w:val="-2"/>
          <w:sz w:val="20"/>
          <w:szCs w:val="20"/>
          <w:lang w:eastAsia="en-US"/>
        </w:rPr>
      </w:pP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ZA GRAD ZAGREB I REPUBLIKU HRVATSKU</w:t>
      </w:r>
    </w:p>
    <w:p w:rsidR="00EC4D14" w:rsidRPr="00EC4D14" w:rsidRDefault="00EC4D14" w:rsidP="00EC4D14">
      <w:pPr>
        <w:widowControl w:val="0"/>
        <w:suppressAutoHyphens/>
        <w:jc w:val="both"/>
        <w:outlineLvl w:val="0"/>
        <w:rPr>
          <w:rFonts w:asciiTheme="minorHAnsi" w:hAnsiTheme="minorHAnsi" w:cstheme="minorHAnsi"/>
          <w:spacing w:val="-2"/>
          <w:sz w:val="20"/>
          <w:szCs w:val="20"/>
          <w:lang w:eastAsia="en-US"/>
        </w:rPr>
      </w:pPr>
    </w:p>
    <w:p w:rsidR="00EC4D14" w:rsidRPr="00EC4D14" w:rsidRDefault="00EC4D14" w:rsidP="00EC4D14">
      <w:pPr>
        <w:widowControl w:val="0"/>
        <w:suppressAutoHyphens/>
        <w:jc w:val="both"/>
        <w:outlineLvl w:val="0"/>
        <w:rPr>
          <w:rFonts w:asciiTheme="minorHAnsi" w:hAnsiTheme="minorHAnsi" w:cstheme="minorHAnsi"/>
          <w:spacing w:val="-2"/>
          <w:sz w:val="20"/>
          <w:szCs w:val="20"/>
          <w:lang w:eastAsia="en-US"/>
        </w:rPr>
      </w:pPr>
    </w:p>
    <w:p w:rsidR="003C5260" w:rsidRDefault="00EC4D14" w:rsidP="003C5260">
      <w:pPr>
        <w:widowControl w:val="0"/>
        <w:suppressAutoHyphens/>
        <w:ind w:left="696" w:firstLine="720"/>
        <w:jc w:val="both"/>
        <w:outlineLvl w:val="0"/>
        <w:rPr>
          <w:rFonts w:asciiTheme="minorHAnsi" w:hAnsiTheme="minorHAnsi" w:cstheme="minorHAnsi"/>
          <w:spacing w:val="-2"/>
          <w:sz w:val="20"/>
          <w:szCs w:val="20"/>
          <w:lang w:eastAsia="en-US"/>
        </w:rPr>
      </w:pP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Iz priopćenja Državnog zavoda za statistiku naslova BRUTO DOMAĆI PROIZVOD ZA REPUBLIKU HRVATSKU,</w:t>
      </w:r>
      <w:r w:rsidR="003C5260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</w:t>
      </w:r>
    </w:p>
    <w:p w:rsidR="003C5260" w:rsidRDefault="00EC4D14" w:rsidP="00EC4D14">
      <w:pPr>
        <w:widowControl w:val="0"/>
        <w:suppressAutoHyphens/>
        <w:ind w:firstLine="720"/>
        <w:jc w:val="both"/>
        <w:outlineLvl w:val="0"/>
        <w:rPr>
          <w:rFonts w:asciiTheme="minorHAnsi" w:hAnsiTheme="minorHAnsi" w:cstheme="minorHAnsi"/>
          <w:spacing w:val="-2"/>
          <w:sz w:val="20"/>
          <w:szCs w:val="20"/>
          <w:lang w:eastAsia="en-US"/>
        </w:rPr>
      </w:pP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NKPJS</w:t>
      </w:r>
      <w:r w:rsidR="008F247B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</w:t>
      </w: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-</w:t>
      </w:r>
      <w:r w:rsidR="008F247B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</w:t>
      </w: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2.</w:t>
      </w:r>
      <w:r w:rsidR="00FB7BB4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</w:t>
      </w: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RAZINA i ŽUPANIJE u 2014., br.12.1.3.,</w:t>
      </w:r>
      <w:r w:rsidR="003C5260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</w:t>
      </w: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od 15.</w:t>
      </w:r>
      <w:r w:rsidR="00FB7BB4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</w:t>
      </w: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veljače 2017. (</w:t>
      </w:r>
      <w:hyperlink r:id="rId9" w:history="1">
        <w:r w:rsidRPr="00EC4D14">
          <w:rPr>
            <w:rFonts w:asciiTheme="minorHAnsi" w:hAnsiTheme="minorHAnsi" w:cstheme="minorHAnsi"/>
            <w:color w:val="0000FF"/>
            <w:spacing w:val="-2"/>
            <w:sz w:val="20"/>
            <w:szCs w:val="20"/>
            <w:u w:val="single"/>
            <w:lang w:eastAsia="en-US"/>
          </w:rPr>
          <w:t>www.dzs.hr</w:t>
        </w:r>
      </w:hyperlink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),</w:t>
      </w:r>
      <w:r w:rsidR="003C5260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</w:t>
      </w: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prenosimo podatke za </w:t>
      </w:r>
    </w:p>
    <w:p w:rsidR="00EC4D14" w:rsidRPr="00EC4D14" w:rsidRDefault="00EC4D14" w:rsidP="00EC4D14">
      <w:pPr>
        <w:widowControl w:val="0"/>
        <w:suppressAutoHyphens/>
        <w:ind w:firstLine="720"/>
        <w:jc w:val="both"/>
        <w:outlineLvl w:val="0"/>
        <w:rPr>
          <w:rFonts w:asciiTheme="minorHAnsi" w:hAnsiTheme="minorHAnsi" w:cstheme="minorHAnsi"/>
          <w:spacing w:val="-2"/>
          <w:sz w:val="20"/>
          <w:szCs w:val="20"/>
          <w:lang w:eastAsia="en-US"/>
        </w:rPr>
      </w:pP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Republiku Hrvatsku i Grad Zagreb.</w:t>
      </w:r>
    </w:p>
    <w:p w:rsidR="003C5260" w:rsidRDefault="00EC4D14" w:rsidP="00EC4D14">
      <w:pPr>
        <w:widowControl w:val="0"/>
        <w:suppressAutoHyphens/>
        <w:jc w:val="both"/>
        <w:outlineLvl w:val="0"/>
        <w:rPr>
          <w:rFonts w:asciiTheme="minorHAnsi" w:hAnsiTheme="minorHAnsi" w:cstheme="minorHAnsi"/>
          <w:spacing w:val="-2"/>
          <w:sz w:val="20"/>
          <w:szCs w:val="20"/>
          <w:lang w:eastAsia="en-US"/>
        </w:rPr>
      </w:pP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ab/>
      </w:r>
      <w:r w:rsidR="003C5260">
        <w:rPr>
          <w:rFonts w:asciiTheme="minorHAnsi" w:hAnsiTheme="minorHAnsi" w:cstheme="minorHAnsi"/>
          <w:spacing w:val="-2"/>
          <w:sz w:val="20"/>
          <w:szCs w:val="20"/>
          <w:lang w:eastAsia="en-US"/>
        </w:rPr>
        <w:tab/>
      </w: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Podaci su revidirani i prikazani prema metodologiji Europskog sustava nacionalnih i regionalnih računa </w:t>
      </w:r>
    </w:p>
    <w:p w:rsidR="00EC4D14" w:rsidRPr="00EC4D14" w:rsidRDefault="00EC4D14" w:rsidP="003C5260">
      <w:pPr>
        <w:widowControl w:val="0"/>
        <w:suppressAutoHyphens/>
        <w:ind w:firstLine="708"/>
        <w:jc w:val="both"/>
        <w:outlineLvl w:val="0"/>
        <w:rPr>
          <w:rFonts w:asciiTheme="minorHAnsi" w:hAnsiTheme="minorHAnsi" w:cstheme="minorHAnsi"/>
          <w:spacing w:val="-2"/>
          <w:sz w:val="20"/>
          <w:szCs w:val="20"/>
          <w:lang w:eastAsia="en-US"/>
        </w:rPr>
      </w:pP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(ESA 2010).</w:t>
      </w:r>
      <w:r w:rsidR="003C5260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</w:t>
      </w: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ESA 2010</w:t>
      </w:r>
      <w:r w:rsidR="005C6F66">
        <w:rPr>
          <w:rFonts w:asciiTheme="minorHAnsi" w:hAnsiTheme="minorHAnsi" w:cstheme="minorHAnsi"/>
          <w:spacing w:val="-2"/>
          <w:sz w:val="20"/>
          <w:szCs w:val="20"/>
          <w:lang w:eastAsia="en-US"/>
        </w:rPr>
        <w:t>.</w:t>
      </w: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zamijenila je postojeći metodološki okvir ESA 95 i u primjeni je od rujna 2014.</w:t>
      </w:r>
    </w:p>
    <w:p w:rsidR="00EC4D14" w:rsidRPr="00EC4D14" w:rsidRDefault="00EC4D14" w:rsidP="00EC4D14">
      <w:pPr>
        <w:widowControl w:val="0"/>
        <w:suppressAutoHyphens/>
        <w:jc w:val="both"/>
        <w:outlineLvl w:val="0"/>
        <w:rPr>
          <w:rFonts w:asciiTheme="minorHAnsi" w:hAnsiTheme="minorHAnsi" w:cstheme="minorHAnsi"/>
          <w:spacing w:val="-2"/>
          <w:sz w:val="20"/>
          <w:szCs w:val="20"/>
          <w:lang w:eastAsia="en-US"/>
        </w:rPr>
      </w:pP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 xml:space="preserve">               </w:t>
      </w:r>
      <w:r w:rsidR="003C5260">
        <w:rPr>
          <w:rFonts w:asciiTheme="minorHAnsi" w:hAnsiTheme="minorHAnsi" w:cstheme="minorHAnsi"/>
          <w:spacing w:val="-2"/>
          <w:sz w:val="20"/>
          <w:szCs w:val="20"/>
          <w:lang w:eastAsia="en-US"/>
        </w:rPr>
        <w:tab/>
      </w:r>
      <w:r w:rsidR="003C5260">
        <w:rPr>
          <w:rFonts w:asciiTheme="minorHAnsi" w:hAnsiTheme="minorHAnsi" w:cstheme="minorHAnsi"/>
          <w:spacing w:val="-2"/>
          <w:sz w:val="20"/>
          <w:szCs w:val="20"/>
          <w:lang w:eastAsia="en-US"/>
        </w:rPr>
        <w:tab/>
      </w:r>
      <w:r w:rsidRPr="00EC4D14">
        <w:rPr>
          <w:rFonts w:asciiTheme="minorHAnsi" w:hAnsiTheme="minorHAnsi" w:cstheme="minorHAnsi"/>
          <w:spacing w:val="-2"/>
          <w:sz w:val="20"/>
          <w:szCs w:val="20"/>
          <w:lang w:eastAsia="en-US"/>
        </w:rPr>
        <w:t>Podaci o BDP-u temelje se na konačnim godišnjim podacima o BDP-u.</w:t>
      </w:r>
    </w:p>
    <w:p w:rsidR="00032B08" w:rsidRPr="00EE3E31" w:rsidRDefault="00032B08" w:rsidP="007742A2">
      <w:pPr>
        <w:widowControl w:val="0"/>
        <w:suppressAutoHyphens/>
        <w:ind w:left="567" w:right="567"/>
        <w:jc w:val="both"/>
        <w:outlineLvl w:val="0"/>
        <w:rPr>
          <w:rFonts w:asciiTheme="minorHAnsi" w:hAnsiTheme="minorHAnsi" w:cstheme="minorHAnsi"/>
          <w:spacing w:val="-2"/>
          <w:sz w:val="21"/>
          <w:szCs w:val="21"/>
          <w:lang w:eastAsia="en-US"/>
        </w:rPr>
      </w:pP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D14DF9" w:rsidRDefault="00D14DF9" w:rsidP="002449F8">
      <w:pPr>
        <w:outlineLvl w:val="0"/>
        <w:rPr>
          <w:b/>
          <w:sz w:val="22"/>
          <w:szCs w:val="22"/>
        </w:rPr>
      </w:pPr>
    </w:p>
    <w:p w:rsidR="009C4F27" w:rsidRDefault="00D302AF" w:rsidP="00CE11C5">
      <w:pPr>
        <w:jc w:val="center"/>
        <w:outlineLvl w:val="0"/>
        <w:rPr>
          <w:b/>
          <w:sz w:val="22"/>
          <w:szCs w:val="22"/>
        </w:rPr>
      </w:pPr>
      <w:r w:rsidRPr="00D302AF">
        <w:drawing>
          <wp:inline distT="0" distB="0" distL="0" distR="0">
            <wp:extent cx="5544000" cy="39636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4000" cy="396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27" w:rsidRDefault="009C4F27" w:rsidP="002449F8">
      <w:pPr>
        <w:outlineLvl w:val="0"/>
        <w:rPr>
          <w:b/>
          <w:sz w:val="22"/>
          <w:szCs w:val="22"/>
        </w:rPr>
      </w:pPr>
    </w:p>
    <w:p w:rsidR="00F01654" w:rsidRDefault="00F01654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D7474D" w:rsidP="00F01654">
      <w:pPr>
        <w:jc w:val="center"/>
        <w:outlineLvl w:val="0"/>
        <w:rPr>
          <w:b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sz w:val="22"/>
          <w:szCs w:val="22"/>
        </w:rPr>
      </w:pPr>
    </w:p>
    <w:p w:rsidR="00EE3E31" w:rsidRDefault="00EC4D14" w:rsidP="00F01654">
      <w:pPr>
        <w:jc w:val="center"/>
        <w:outlineLvl w:val="0"/>
        <w:rPr>
          <w:b/>
          <w:sz w:val="22"/>
          <w:szCs w:val="22"/>
        </w:rPr>
      </w:pPr>
      <w:r w:rsidRPr="00EC4D14">
        <w:rPr>
          <w:noProof/>
        </w:rPr>
        <w:drawing>
          <wp:inline distT="0" distB="0" distL="0" distR="0">
            <wp:extent cx="5547600" cy="426600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7600" cy="426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E3E31" w:rsidRDefault="00EE3E31" w:rsidP="00F01654">
      <w:pPr>
        <w:jc w:val="center"/>
        <w:outlineLvl w:val="0"/>
        <w:rPr>
          <w:b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sz w:val="22"/>
          <w:szCs w:val="22"/>
        </w:rPr>
      </w:pPr>
    </w:p>
    <w:p w:rsidR="006D1E60" w:rsidRDefault="006D1E60" w:rsidP="00F01654">
      <w:pPr>
        <w:jc w:val="center"/>
        <w:outlineLvl w:val="0"/>
        <w:rPr>
          <w:b/>
          <w:sz w:val="22"/>
          <w:szCs w:val="22"/>
        </w:rPr>
      </w:pPr>
    </w:p>
    <w:p w:rsidR="006D1E60" w:rsidRDefault="006D1E60" w:rsidP="00F01654">
      <w:pPr>
        <w:jc w:val="center"/>
        <w:outlineLvl w:val="0"/>
        <w:rPr>
          <w:b/>
          <w:sz w:val="22"/>
          <w:szCs w:val="22"/>
        </w:rPr>
      </w:pPr>
    </w:p>
    <w:p w:rsidR="00D7474D" w:rsidRDefault="00EC4D14" w:rsidP="00F01654">
      <w:pPr>
        <w:jc w:val="center"/>
        <w:outlineLvl w:val="0"/>
        <w:rPr>
          <w:b/>
          <w:sz w:val="22"/>
          <w:szCs w:val="22"/>
        </w:rPr>
      </w:pPr>
      <w:r w:rsidRPr="00EC4D14">
        <w:rPr>
          <w:noProof/>
        </w:rPr>
        <w:drawing>
          <wp:inline distT="0" distB="0" distL="0" distR="0">
            <wp:extent cx="5774400" cy="288720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4400" cy="288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E5D" w:rsidRDefault="00CC3E5D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EE3E31" w:rsidRDefault="00EE3E31" w:rsidP="00F01654">
      <w:pPr>
        <w:jc w:val="center"/>
        <w:outlineLvl w:val="0"/>
        <w:rPr>
          <w:b/>
          <w:noProof/>
          <w:sz w:val="22"/>
          <w:szCs w:val="22"/>
        </w:rPr>
      </w:pPr>
    </w:p>
    <w:p w:rsidR="002551E6" w:rsidRDefault="00D302AF" w:rsidP="002551E6">
      <w:pPr>
        <w:jc w:val="center"/>
        <w:outlineLvl w:val="0"/>
        <w:rPr>
          <w:b/>
          <w:sz w:val="22"/>
          <w:szCs w:val="22"/>
        </w:rPr>
      </w:pPr>
      <w:r w:rsidRPr="00D302AF">
        <w:drawing>
          <wp:inline distT="0" distB="0" distL="0" distR="0">
            <wp:extent cx="5929200" cy="54504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9200" cy="54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F27" w:rsidRPr="00EE3E31" w:rsidRDefault="009C4F27" w:rsidP="00CE11C5">
      <w:pPr>
        <w:jc w:val="center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9C4F27" w:rsidRPr="00EE3E31" w:rsidRDefault="009C4F27" w:rsidP="002449F8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bookmarkStart w:id="0" w:name="_GoBack"/>
      <w:bookmarkEnd w:id="0"/>
    </w:p>
    <w:p w:rsidR="00EE3E31" w:rsidRDefault="00EE3E31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E3E31" w:rsidRDefault="00EE3E31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EE3E31" w:rsidRDefault="00EE3E31" w:rsidP="00B03DFF">
      <w:pPr>
        <w:ind w:left="283" w:right="283"/>
        <w:outlineLvl w:val="0"/>
        <w:rPr>
          <w:rFonts w:asciiTheme="minorHAnsi" w:hAnsiTheme="minorHAnsi" w:cstheme="minorHAnsi"/>
          <w:b/>
          <w:sz w:val="22"/>
          <w:szCs w:val="22"/>
        </w:rPr>
      </w:pPr>
    </w:p>
    <w:p w:rsidR="0045369A" w:rsidRPr="00213D01" w:rsidRDefault="0045369A" w:rsidP="0045369A">
      <w:pPr>
        <w:ind w:left="283" w:right="283"/>
        <w:outlineLvl w:val="0"/>
        <w:rPr>
          <w:rFonts w:asciiTheme="minorHAnsi" w:hAnsiTheme="minorHAnsi" w:cstheme="minorHAnsi"/>
          <w:b/>
          <w:sz w:val="20"/>
          <w:szCs w:val="20"/>
        </w:rPr>
      </w:pPr>
      <w:r w:rsidRPr="00213D01">
        <w:rPr>
          <w:rFonts w:asciiTheme="minorHAnsi" w:hAnsiTheme="minorHAnsi" w:cstheme="minorHAnsi"/>
          <w:b/>
          <w:sz w:val="20"/>
          <w:szCs w:val="20"/>
        </w:rPr>
        <w:t>METODOLOŠKA OBJAŠNJENJA</w:t>
      </w:r>
      <w:r w:rsidRPr="00213D01">
        <w:rPr>
          <w:rFonts w:asciiTheme="minorHAnsi" w:hAnsiTheme="minorHAnsi" w:cstheme="minorHAnsi"/>
          <w:b/>
          <w:sz w:val="20"/>
          <w:szCs w:val="20"/>
          <w:vertAlign w:val="superscript"/>
        </w:rPr>
        <w:t>1</w:t>
      </w:r>
    </w:p>
    <w:p w:rsidR="0045369A" w:rsidRPr="00213D01" w:rsidRDefault="0045369A" w:rsidP="0045369A">
      <w:pPr>
        <w:ind w:left="283" w:right="283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45369A" w:rsidRPr="00213D01" w:rsidRDefault="0045369A" w:rsidP="0045369A">
      <w:pPr>
        <w:ind w:left="283" w:right="283"/>
        <w:outlineLvl w:val="0"/>
        <w:rPr>
          <w:rFonts w:asciiTheme="minorHAnsi" w:hAnsiTheme="minorHAnsi" w:cstheme="minorHAnsi"/>
          <w:b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/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213D01">
        <w:rPr>
          <w:rFonts w:asciiTheme="minorHAnsi" w:hAnsiTheme="minorHAnsi" w:cstheme="minorHAnsi"/>
          <w:b/>
          <w:i/>
          <w:sz w:val="20"/>
          <w:szCs w:val="20"/>
        </w:rPr>
        <w:t>Izvori prikupljanja podataka</w:t>
      </w: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 xml:space="preserve">            Izvori podataka za obračun BDP-a i BDV-a za Republiku Hrvatsku i županije su podaci nacionalnih računa, godišnja istraživanja poslovnih statistika, godišnja istraživanja poljoprivrede, godišnji podaci o zaposlenima i plaćama, godišnji podaci Hrvatskog zavoda za mirovinsko osiguranje o broju osiguranih osoba, te razni drugi statistički podaci.</w:t>
      </w: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ab/>
        <w:t xml:space="preserve">  Podaci o BDP-u i BDV-u iskazani su prema NKD-2007. na razini područja, u tekućim cijenama.</w:t>
      </w: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ab/>
        <w:t xml:space="preserve">  Procjena broja stanovnika izvršena je na temelju broja stanovnika iz podataka Popisa 2011.</w:t>
      </w:r>
    </w:p>
    <w:p w:rsidR="0045369A" w:rsidRPr="00213D01" w:rsidRDefault="0045369A" w:rsidP="0045369A">
      <w:pPr>
        <w:ind w:left="283" w:right="283"/>
        <w:jc w:val="both"/>
        <w:rPr>
          <w:rFonts w:asciiTheme="minorHAnsi" w:hAnsiTheme="minorHAnsi"/>
          <w:sz w:val="20"/>
          <w:szCs w:val="20"/>
        </w:rPr>
      </w:pPr>
    </w:p>
    <w:p w:rsidR="0045369A" w:rsidRPr="00213D01" w:rsidRDefault="0045369A" w:rsidP="0045369A">
      <w:pPr>
        <w:ind w:left="283" w:right="283"/>
        <w:jc w:val="both"/>
        <w:rPr>
          <w:rFonts w:asciiTheme="minorHAnsi" w:hAnsiTheme="minorHAnsi"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13D01">
        <w:rPr>
          <w:rFonts w:asciiTheme="minorHAnsi" w:hAnsiTheme="minorHAnsi" w:cstheme="minorHAnsi"/>
          <w:b/>
          <w:i/>
          <w:sz w:val="20"/>
          <w:szCs w:val="20"/>
        </w:rPr>
        <w:t>Obuhvat</w:t>
      </w: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b/>
          <w:sz w:val="20"/>
          <w:szCs w:val="20"/>
        </w:rPr>
        <w:tab/>
        <w:t xml:space="preserve">       </w:t>
      </w:r>
      <w:r w:rsidRPr="00213D01">
        <w:rPr>
          <w:rFonts w:asciiTheme="minorHAnsi" w:hAnsiTheme="minorHAnsi" w:cstheme="minorHAnsi"/>
          <w:sz w:val="20"/>
          <w:szCs w:val="20"/>
        </w:rPr>
        <w:t>Obračun obuhvaća sve djelatnosti slijedeći koncept Sustava nacionalnih računa (SNA 2008) i Europskog sustava nacionalnih računa (ESA 2010).</w:t>
      </w: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13D01">
        <w:rPr>
          <w:rFonts w:asciiTheme="minorHAnsi" w:hAnsiTheme="minorHAnsi" w:cstheme="minorHAnsi"/>
          <w:b/>
          <w:i/>
          <w:sz w:val="20"/>
          <w:szCs w:val="20"/>
        </w:rPr>
        <w:t>Definicije</w:t>
      </w: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</w:p>
    <w:p w:rsidR="0045369A" w:rsidRDefault="0045369A" w:rsidP="0045369A">
      <w:pPr>
        <w:spacing w:line="276" w:lineRule="auto"/>
        <w:ind w:left="283" w:right="283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i/>
          <w:sz w:val="20"/>
          <w:szCs w:val="20"/>
        </w:rPr>
        <w:t xml:space="preserve">  Regionalni računi</w:t>
      </w:r>
      <w:r w:rsidRPr="00213D01">
        <w:rPr>
          <w:rFonts w:asciiTheme="minorHAnsi" w:hAnsiTheme="minorHAnsi" w:cstheme="minorHAnsi"/>
          <w:sz w:val="20"/>
          <w:szCs w:val="20"/>
        </w:rPr>
        <w:t xml:space="preserve"> su podsustav nacionalnih računa u kojima su predmeti razmatranja posebne prostorne jedinice za statistiku (u ovom slučaju županije). Korišteni su isti koncepti kao i u nacionalnim računima. </w:t>
      </w:r>
    </w:p>
    <w:p w:rsidR="004B7CA7" w:rsidRPr="00213D01" w:rsidRDefault="004B7CA7" w:rsidP="0045369A">
      <w:pPr>
        <w:spacing w:line="276" w:lineRule="auto"/>
        <w:ind w:left="283" w:right="283" w:firstLine="708"/>
        <w:jc w:val="both"/>
        <w:rPr>
          <w:rFonts w:asciiTheme="minorHAnsi" w:hAnsiTheme="minorHAnsi" w:cstheme="minorHAnsi"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 xml:space="preserve"> </w:t>
      </w:r>
      <w:r w:rsidRPr="00213D01">
        <w:rPr>
          <w:rFonts w:asciiTheme="minorHAnsi" w:hAnsiTheme="minorHAnsi" w:cstheme="minorHAnsi"/>
          <w:i/>
          <w:sz w:val="20"/>
          <w:szCs w:val="20"/>
        </w:rPr>
        <w:t>Regionalni BDP</w:t>
      </w:r>
      <w:r w:rsidRPr="00213D01">
        <w:rPr>
          <w:rFonts w:asciiTheme="minorHAnsi" w:hAnsiTheme="minorHAnsi" w:cstheme="minorHAnsi"/>
          <w:sz w:val="20"/>
          <w:szCs w:val="20"/>
        </w:rPr>
        <w:t xml:space="preserve"> pokazatelj je proizvodnje regije i kao takav može se koristiti isključivo za mjerenje i uspoređivanje stupnja gospodarske aktivnosti različitih regija i nije mjerilo regionalnog blagostanja ili regionalnog dohotka</w:t>
      </w:r>
      <w:r w:rsidR="00A05A05">
        <w:rPr>
          <w:rFonts w:asciiTheme="minorHAnsi" w:hAnsiTheme="minorHAnsi" w:cstheme="minorHAnsi"/>
          <w:sz w:val="20"/>
          <w:szCs w:val="20"/>
        </w:rPr>
        <w:t>.</w:t>
      </w:r>
    </w:p>
    <w:p w:rsidR="0045369A" w:rsidRPr="00213D01" w:rsidRDefault="0045369A" w:rsidP="0045369A">
      <w:pPr>
        <w:spacing w:line="276" w:lineRule="auto"/>
        <w:ind w:left="283" w:right="283" w:firstLine="708"/>
        <w:jc w:val="both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i/>
          <w:sz w:val="20"/>
          <w:szCs w:val="20"/>
        </w:rPr>
        <w:t xml:space="preserve">  Bruto domaći proizvod </w:t>
      </w:r>
      <w:r w:rsidRPr="00213D01">
        <w:rPr>
          <w:rFonts w:asciiTheme="minorHAnsi" w:hAnsiTheme="minorHAnsi" w:cstheme="minorHAnsi"/>
          <w:sz w:val="20"/>
          <w:szCs w:val="20"/>
        </w:rPr>
        <w:t>u tržišnim cijenama, iskazuje vrijednost svih proizvedenih dobara i usluga rezidentnih jedinica, tj. zbroj</w:t>
      </w:r>
      <w:r w:rsidRPr="00213D01">
        <w:rPr>
          <w:rFonts w:asciiTheme="minorHAnsi" w:hAnsiTheme="minorHAnsi" w:cstheme="minorHAnsi"/>
          <w:i/>
          <w:sz w:val="20"/>
          <w:szCs w:val="20"/>
        </w:rPr>
        <w:t xml:space="preserve"> dodanih vrijednosti po djelatnostima</w:t>
      </w:r>
      <w:r w:rsidRPr="00213D01">
        <w:rPr>
          <w:rFonts w:asciiTheme="minorHAnsi" w:hAnsiTheme="minorHAnsi" w:cstheme="minorHAnsi"/>
          <w:sz w:val="20"/>
          <w:szCs w:val="20"/>
        </w:rPr>
        <w:t xml:space="preserve"> uz uključivanje u obračun na razini nacionalnog gospodarstva stavki koje nisu raspoređene po djelatnostima kao što su porezi na proizvode, minus subvencije na proizvode.</w:t>
      </w: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213D01">
        <w:rPr>
          <w:rFonts w:asciiTheme="minorHAnsi" w:hAnsiTheme="minorHAnsi" w:cstheme="minorHAnsi"/>
          <w:b/>
          <w:i/>
          <w:sz w:val="20"/>
          <w:szCs w:val="20"/>
        </w:rPr>
        <w:t>Ostala objašnjenja</w:t>
      </w: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ab/>
        <w:t xml:space="preserve">          BDP i BDV za Republiku Hrvatsku i županije obračunani su primjenom indirektne metode. Nacionalne vrijednosti BDV-a po djelatnostima raspoređene su prema NKPJS-u 2012. – 2. razina i županija primjenom odgovarajućih ključeva raspodjele.</w:t>
      </w:r>
    </w:p>
    <w:p w:rsidR="0045369A" w:rsidRDefault="0045369A" w:rsidP="0045369A">
      <w:pPr>
        <w:spacing w:line="276" w:lineRule="auto"/>
        <w:ind w:left="283" w:right="283"/>
        <w:rPr>
          <w:rFonts w:asciiTheme="minorHAnsi" w:hAnsiTheme="minorHAnsi" w:cstheme="minorHAnsi"/>
          <w:b/>
          <w:i/>
          <w:sz w:val="20"/>
          <w:szCs w:val="20"/>
        </w:rPr>
      </w:pPr>
    </w:p>
    <w:p w:rsidR="004B7CA7" w:rsidRDefault="004B7CA7" w:rsidP="0045369A">
      <w:pPr>
        <w:spacing w:line="276" w:lineRule="auto"/>
        <w:ind w:left="283" w:right="283"/>
        <w:rPr>
          <w:rFonts w:asciiTheme="minorHAnsi" w:hAnsiTheme="minorHAnsi" w:cstheme="minorHAnsi"/>
          <w:b/>
          <w:i/>
          <w:sz w:val="20"/>
          <w:szCs w:val="20"/>
        </w:rPr>
      </w:pPr>
    </w:p>
    <w:p w:rsidR="004B7CA7" w:rsidRDefault="004B7CA7" w:rsidP="0045369A">
      <w:pPr>
        <w:spacing w:line="276" w:lineRule="auto"/>
        <w:ind w:left="283" w:right="283"/>
        <w:rPr>
          <w:rFonts w:asciiTheme="minorHAnsi" w:hAnsiTheme="minorHAnsi" w:cstheme="minorHAnsi"/>
          <w:b/>
          <w:i/>
          <w:sz w:val="20"/>
          <w:szCs w:val="20"/>
        </w:rPr>
      </w:pPr>
    </w:p>
    <w:p w:rsidR="004B7CA7" w:rsidRDefault="004B7CA7" w:rsidP="0045369A">
      <w:pPr>
        <w:spacing w:line="276" w:lineRule="auto"/>
        <w:ind w:left="283" w:right="283"/>
        <w:rPr>
          <w:rFonts w:asciiTheme="minorHAnsi" w:hAnsiTheme="minorHAnsi" w:cstheme="minorHAnsi"/>
          <w:b/>
          <w:i/>
          <w:sz w:val="20"/>
          <w:szCs w:val="20"/>
        </w:rPr>
      </w:pPr>
    </w:p>
    <w:p w:rsidR="007C5CBA" w:rsidRPr="00213D01" w:rsidRDefault="007C5CBA" w:rsidP="0045369A">
      <w:pPr>
        <w:spacing w:line="276" w:lineRule="auto"/>
        <w:ind w:left="283" w:right="283"/>
        <w:rPr>
          <w:rFonts w:asciiTheme="minorHAnsi" w:hAnsiTheme="minorHAnsi" w:cstheme="minorHAnsi"/>
          <w:b/>
          <w:i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/>
        <w:rPr>
          <w:rFonts w:asciiTheme="minorHAnsi" w:hAnsiTheme="minorHAnsi" w:cstheme="minorHAnsi"/>
          <w:b/>
          <w:i/>
          <w:sz w:val="20"/>
          <w:szCs w:val="20"/>
        </w:rPr>
      </w:pPr>
      <w:r w:rsidRPr="00213D01">
        <w:rPr>
          <w:rFonts w:asciiTheme="minorHAnsi" w:hAnsiTheme="minorHAnsi" w:cstheme="minorHAnsi"/>
          <w:b/>
          <w:i/>
          <w:sz w:val="20"/>
          <w:szCs w:val="20"/>
        </w:rPr>
        <w:t>Kratice</w:t>
      </w:r>
    </w:p>
    <w:p w:rsidR="0045369A" w:rsidRPr="00213D01" w:rsidRDefault="0045369A" w:rsidP="0045369A">
      <w:pPr>
        <w:spacing w:line="276" w:lineRule="auto"/>
        <w:ind w:left="283" w:right="283"/>
        <w:rPr>
          <w:rFonts w:asciiTheme="minorHAnsi" w:hAnsiTheme="minorHAnsi" w:cstheme="minorHAnsi"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>BDP</w:t>
      </w:r>
      <w:r w:rsidRPr="00213D01">
        <w:rPr>
          <w:rFonts w:asciiTheme="minorHAnsi" w:hAnsiTheme="minorHAnsi" w:cstheme="minorHAnsi"/>
          <w:sz w:val="20"/>
          <w:szCs w:val="20"/>
        </w:rPr>
        <w:tab/>
      </w:r>
      <w:r w:rsidRPr="00213D01">
        <w:rPr>
          <w:rFonts w:asciiTheme="minorHAnsi" w:hAnsiTheme="minorHAnsi" w:cstheme="minorHAnsi"/>
          <w:sz w:val="20"/>
          <w:szCs w:val="20"/>
        </w:rPr>
        <w:tab/>
        <w:t>bruto domaći proizvod</w:t>
      </w:r>
    </w:p>
    <w:p w:rsidR="0045369A" w:rsidRPr="00213D01" w:rsidRDefault="0045369A" w:rsidP="0045369A">
      <w:pPr>
        <w:spacing w:line="276" w:lineRule="auto"/>
        <w:ind w:left="283" w:right="283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>BDV</w:t>
      </w:r>
      <w:r w:rsidRPr="00213D01">
        <w:rPr>
          <w:rFonts w:asciiTheme="minorHAnsi" w:hAnsiTheme="minorHAnsi" w:cstheme="minorHAnsi"/>
          <w:sz w:val="20"/>
          <w:szCs w:val="20"/>
        </w:rPr>
        <w:tab/>
      </w:r>
      <w:r w:rsidRPr="00213D01">
        <w:rPr>
          <w:rFonts w:asciiTheme="minorHAnsi" w:hAnsiTheme="minorHAnsi" w:cstheme="minorHAnsi"/>
          <w:sz w:val="20"/>
          <w:szCs w:val="20"/>
        </w:rPr>
        <w:tab/>
        <w:t>bruto dodana vrijednost</w:t>
      </w:r>
    </w:p>
    <w:p w:rsidR="0045369A" w:rsidRPr="00213D01" w:rsidRDefault="0045369A" w:rsidP="0045369A">
      <w:pPr>
        <w:spacing w:line="276" w:lineRule="auto"/>
        <w:ind w:left="283" w:right="283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>ESA 2010</w:t>
      </w:r>
      <w:r w:rsidRPr="00213D01">
        <w:rPr>
          <w:rFonts w:asciiTheme="minorHAnsi" w:hAnsiTheme="minorHAnsi" w:cstheme="minorHAnsi"/>
          <w:sz w:val="20"/>
          <w:szCs w:val="20"/>
        </w:rPr>
        <w:tab/>
        <w:t>Europski sustav nacionalnih i regionalnih računa 2010.</w:t>
      </w:r>
    </w:p>
    <w:p w:rsidR="0045369A" w:rsidRPr="00213D01" w:rsidRDefault="0045369A" w:rsidP="0045369A">
      <w:pPr>
        <w:spacing w:line="276" w:lineRule="auto"/>
        <w:ind w:left="283" w:right="283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>EUR</w:t>
      </w:r>
      <w:r w:rsidRPr="00213D01">
        <w:rPr>
          <w:rFonts w:asciiTheme="minorHAnsi" w:hAnsiTheme="minorHAnsi" w:cstheme="minorHAnsi"/>
          <w:sz w:val="20"/>
          <w:szCs w:val="20"/>
        </w:rPr>
        <w:tab/>
      </w:r>
      <w:r w:rsidRPr="00213D01">
        <w:rPr>
          <w:rFonts w:asciiTheme="minorHAnsi" w:hAnsiTheme="minorHAnsi" w:cstheme="minorHAnsi"/>
          <w:sz w:val="20"/>
          <w:szCs w:val="20"/>
        </w:rPr>
        <w:tab/>
        <w:t xml:space="preserve">euro </w:t>
      </w:r>
    </w:p>
    <w:p w:rsidR="0045369A" w:rsidRPr="00213D01" w:rsidRDefault="0045369A" w:rsidP="0045369A">
      <w:pPr>
        <w:spacing w:line="276" w:lineRule="auto"/>
        <w:ind w:left="283" w:right="283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 xml:space="preserve">HRK           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213D01">
        <w:rPr>
          <w:rFonts w:asciiTheme="minorHAnsi" w:hAnsiTheme="minorHAnsi" w:cstheme="minorHAnsi"/>
          <w:sz w:val="20"/>
          <w:szCs w:val="20"/>
        </w:rPr>
        <w:t xml:space="preserve"> hrvatska kuna </w:t>
      </w:r>
    </w:p>
    <w:p w:rsidR="0045369A" w:rsidRPr="00213D01" w:rsidRDefault="0045369A" w:rsidP="0045369A">
      <w:pPr>
        <w:spacing w:line="276" w:lineRule="auto"/>
        <w:ind w:left="283" w:right="283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 xml:space="preserve">NKD 2007   </w:t>
      </w:r>
      <w:r>
        <w:rPr>
          <w:rFonts w:asciiTheme="minorHAnsi" w:hAnsiTheme="minorHAnsi" w:cstheme="minorHAnsi"/>
          <w:sz w:val="20"/>
          <w:szCs w:val="20"/>
        </w:rPr>
        <w:t xml:space="preserve">  </w:t>
      </w:r>
      <w:r w:rsidRPr="00213D01">
        <w:rPr>
          <w:rFonts w:asciiTheme="minorHAnsi" w:hAnsiTheme="minorHAnsi" w:cstheme="minorHAnsi"/>
          <w:sz w:val="20"/>
          <w:szCs w:val="20"/>
        </w:rPr>
        <w:t xml:space="preserve">  Nacionalna klasifikacija djelatnosti 2007.</w:t>
      </w:r>
    </w:p>
    <w:p w:rsidR="0045369A" w:rsidRPr="00213D01" w:rsidRDefault="0045369A" w:rsidP="0045369A">
      <w:pPr>
        <w:spacing w:line="276" w:lineRule="auto"/>
        <w:ind w:left="283" w:right="283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</w:rPr>
        <w:t>NKPJS 2012</w:t>
      </w:r>
      <w:r w:rsidRPr="00213D01">
        <w:rPr>
          <w:rFonts w:asciiTheme="minorHAnsi" w:hAnsiTheme="minorHAnsi" w:cstheme="minorHAnsi"/>
          <w:sz w:val="20"/>
          <w:szCs w:val="20"/>
        </w:rPr>
        <w:tab/>
        <w:t>Nacionalna klasifikacija prostornih jedinica za statistiku 2012</w:t>
      </w: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sz w:val="20"/>
          <w:szCs w:val="20"/>
        </w:rPr>
      </w:pPr>
      <w:r w:rsidRPr="00213D01">
        <w:rPr>
          <w:rFonts w:asciiTheme="minorHAnsi" w:hAnsiTheme="minorHAnsi" w:cstheme="minorHAnsi"/>
          <w:b/>
          <w:sz w:val="20"/>
          <w:szCs w:val="20"/>
        </w:rPr>
        <w:t xml:space="preserve">         </w:t>
      </w: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45369A" w:rsidRPr="00213D01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b/>
          <w:sz w:val="20"/>
          <w:szCs w:val="20"/>
        </w:rPr>
      </w:pPr>
    </w:p>
    <w:p w:rsidR="00844A2E" w:rsidRDefault="0045369A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  <w:r w:rsidRPr="00213D01">
        <w:rPr>
          <w:rFonts w:asciiTheme="minorHAnsi" w:hAnsiTheme="minorHAnsi" w:cstheme="minorHAnsi"/>
          <w:sz w:val="20"/>
          <w:szCs w:val="20"/>
          <w:vertAlign w:val="superscript"/>
        </w:rPr>
        <w:t>1</w:t>
      </w:r>
      <w:r w:rsidRPr="00213D01">
        <w:rPr>
          <w:rFonts w:asciiTheme="minorHAnsi" w:hAnsiTheme="minorHAnsi" w:cstheme="minorHAnsi"/>
          <w:sz w:val="20"/>
          <w:szCs w:val="20"/>
        </w:rPr>
        <w:t xml:space="preserve">Izvor: Priopćenje Državnog zavoda za statistiku, Bruto domaći proizvod za Republiku Hrvatsku, NKPJS - 2. </w:t>
      </w:r>
    </w:p>
    <w:p w:rsidR="0045369A" w:rsidRPr="00213D01" w:rsidRDefault="00844A2E" w:rsidP="0045369A">
      <w:pPr>
        <w:spacing w:line="276" w:lineRule="auto"/>
        <w:ind w:left="283" w:right="283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</w:t>
      </w:r>
      <w:r w:rsidR="002F6606">
        <w:rPr>
          <w:rFonts w:asciiTheme="minorHAnsi" w:hAnsiTheme="minorHAnsi" w:cstheme="minorHAnsi"/>
          <w:sz w:val="20"/>
          <w:szCs w:val="20"/>
        </w:rPr>
        <w:t>Razina i</w:t>
      </w:r>
      <w:r w:rsidR="0045369A">
        <w:rPr>
          <w:rFonts w:asciiTheme="minorHAnsi" w:hAnsiTheme="minorHAnsi" w:cstheme="minorHAnsi"/>
          <w:sz w:val="20"/>
          <w:szCs w:val="20"/>
        </w:rPr>
        <w:t xml:space="preserve"> </w:t>
      </w:r>
      <w:r w:rsidR="0045369A" w:rsidRPr="00213D01">
        <w:rPr>
          <w:rFonts w:asciiTheme="minorHAnsi" w:hAnsiTheme="minorHAnsi" w:cstheme="minorHAnsi"/>
          <w:sz w:val="20"/>
          <w:szCs w:val="20"/>
        </w:rPr>
        <w:t xml:space="preserve">županije u 2014., br. 12.1.3., od 15. veljače 2017. </w:t>
      </w:r>
    </w:p>
    <w:p w:rsidR="0045369A" w:rsidRPr="00213D01" w:rsidRDefault="0045369A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5369A" w:rsidRPr="00213D01" w:rsidRDefault="0045369A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5369A" w:rsidRPr="00213D01" w:rsidRDefault="0045369A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5369A" w:rsidRPr="00213D01" w:rsidRDefault="0045369A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5369A" w:rsidRPr="00213D01" w:rsidRDefault="0045369A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5369A" w:rsidRPr="00213D01" w:rsidRDefault="0045369A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5369A" w:rsidRPr="00213D01" w:rsidRDefault="0045369A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5369A" w:rsidRPr="00213D01" w:rsidRDefault="0045369A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5369A" w:rsidRDefault="0045369A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1251F1" w:rsidRDefault="001251F1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B7CA7" w:rsidRDefault="004B7CA7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B7CA7" w:rsidRDefault="004B7CA7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1251F1" w:rsidRPr="00213D01" w:rsidRDefault="001251F1" w:rsidP="0045369A">
      <w:pPr>
        <w:jc w:val="both"/>
        <w:rPr>
          <w:rFonts w:asciiTheme="minorHAnsi" w:hAnsiTheme="minorHAnsi"/>
          <w:b/>
          <w:sz w:val="20"/>
          <w:szCs w:val="20"/>
        </w:rPr>
      </w:pPr>
    </w:p>
    <w:p w:rsidR="0045369A" w:rsidRPr="009F0B70" w:rsidRDefault="0045369A" w:rsidP="0045369A">
      <w:pPr>
        <w:jc w:val="both"/>
        <w:rPr>
          <w:rFonts w:asciiTheme="minorHAnsi" w:hAnsiTheme="minorHAnsi"/>
          <w:b/>
          <w:sz w:val="20"/>
          <w:szCs w:val="20"/>
          <w:u w:val="single"/>
        </w:rPr>
      </w:pPr>
      <w:r w:rsidRPr="00213D01">
        <w:rPr>
          <w:rFonts w:asciiTheme="minorHAnsi" w:hAnsiTheme="minorHAnsi"/>
          <w:b/>
          <w:sz w:val="20"/>
          <w:szCs w:val="20"/>
        </w:rPr>
        <w:t xml:space="preserve"> </w:t>
      </w:r>
      <w:r w:rsidR="009F0B70" w:rsidRPr="009F0B70">
        <w:rPr>
          <w:rFonts w:asciiTheme="minorHAnsi" w:hAnsiTheme="minorHAnsi"/>
          <w:b/>
          <w:sz w:val="20"/>
          <w:szCs w:val="20"/>
          <w:u w:val="single"/>
        </w:rPr>
        <w:t>____________________________________________________________________________________________________</w:t>
      </w:r>
      <w:r w:rsidRPr="009F0B70">
        <w:rPr>
          <w:rFonts w:asciiTheme="minorHAnsi" w:hAnsiTheme="minorHAnsi"/>
          <w:b/>
          <w:sz w:val="20"/>
          <w:szCs w:val="20"/>
          <w:u w:val="single"/>
        </w:rPr>
        <w:t xml:space="preserve">                                                                                                                                                            </w:t>
      </w:r>
    </w:p>
    <w:p w:rsidR="0045369A" w:rsidRPr="00294B4B" w:rsidRDefault="009F0B70" w:rsidP="0045369A">
      <w:pPr>
        <w:jc w:val="both"/>
        <w:outlineLvl w:val="0"/>
        <w:rPr>
          <w:b/>
          <w:sz w:val="18"/>
          <w:szCs w:val="18"/>
        </w:rPr>
      </w:pPr>
      <w:r>
        <w:rPr>
          <w:b/>
          <w:sz w:val="17"/>
          <w:szCs w:val="17"/>
        </w:rPr>
        <w:t xml:space="preserve"> </w:t>
      </w:r>
      <w:r w:rsidR="0045369A">
        <w:rPr>
          <w:b/>
          <w:sz w:val="17"/>
          <w:szCs w:val="17"/>
        </w:rPr>
        <w:t>MOLIMO KORISNIKE PRIOPĆENJA DA PRILIKOM KORIŠTENJA PODATAKA OBVEZNO NAVEDU IZVOR</w:t>
      </w:r>
      <w:r w:rsidR="0045369A">
        <w:rPr>
          <w:b/>
          <w:sz w:val="18"/>
          <w:szCs w:val="18"/>
        </w:rPr>
        <w:t>.</w:t>
      </w:r>
    </w:p>
    <w:p w:rsidR="00093691" w:rsidRPr="00EE3E31" w:rsidRDefault="00093691" w:rsidP="00EE3E31">
      <w:pPr>
        <w:ind w:left="142" w:right="423" w:firstLine="425"/>
        <w:outlineLvl w:val="0"/>
        <w:rPr>
          <w:rFonts w:asciiTheme="minorHAnsi" w:hAnsiTheme="minorHAnsi" w:cstheme="minorHAnsi"/>
          <w:b/>
          <w:sz w:val="20"/>
          <w:szCs w:val="22"/>
        </w:rPr>
      </w:pPr>
    </w:p>
    <w:sectPr w:rsidR="00093691" w:rsidRPr="00EE3E31" w:rsidSect="009318B8">
      <w:footerReference w:type="even" r:id="rId14"/>
      <w:footerReference w:type="default" r:id="rId15"/>
      <w:pgSz w:w="11906" w:h="16838"/>
      <w:pgMar w:top="1134" w:right="851" w:bottom="851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5CBA" w:rsidRDefault="007C5CBA">
      <w:r>
        <w:separator/>
      </w:r>
    </w:p>
  </w:endnote>
  <w:endnote w:type="continuationSeparator" w:id="0">
    <w:p w:rsidR="007C5CBA" w:rsidRDefault="007C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BA" w:rsidRDefault="007C5CBA" w:rsidP="00366069">
    <w:pPr>
      <w:pStyle w:val="Foot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C5CBA" w:rsidRDefault="007C5CBA" w:rsidP="00B22C86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5CBA" w:rsidRPr="007B0385" w:rsidRDefault="007C5CBA" w:rsidP="00366069">
    <w:pPr>
      <w:pStyle w:val="Footer"/>
      <w:framePr w:wrap="around" w:vAnchor="text" w:hAnchor="margin" w:xAlign="outside" w:y="1"/>
      <w:rPr>
        <w:rStyle w:val="PageNumber"/>
        <w:sz w:val="20"/>
        <w:szCs w:val="20"/>
      </w:rPr>
    </w:pPr>
    <w:r w:rsidRPr="007B0385">
      <w:rPr>
        <w:rStyle w:val="PageNumber"/>
        <w:sz w:val="20"/>
        <w:szCs w:val="20"/>
      </w:rPr>
      <w:fldChar w:fldCharType="begin"/>
    </w:r>
    <w:r w:rsidRPr="007B0385">
      <w:rPr>
        <w:rStyle w:val="PageNumber"/>
        <w:sz w:val="20"/>
        <w:szCs w:val="20"/>
      </w:rPr>
      <w:instrText xml:space="preserve">PAGE  </w:instrText>
    </w:r>
    <w:r w:rsidRPr="007B0385">
      <w:rPr>
        <w:rStyle w:val="PageNumber"/>
        <w:sz w:val="20"/>
        <w:szCs w:val="20"/>
      </w:rPr>
      <w:fldChar w:fldCharType="separate"/>
    </w:r>
    <w:r w:rsidR="00D302AF">
      <w:rPr>
        <w:rStyle w:val="PageNumber"/>
        <w:noProof/>
        <w:sz w:val="20"/>
        <w:szCs w:val="20"/>
      </w:rPr>
      <w:t>4</w:t>
    </w:r>
    <w:r w:rsidRPr="007B0385">
      <w:rPr>
        <w:rStyle w:val="PageNumber"/>
        <w:sz w:val="20"/>
        <w:szCs w:val="20"/>
      </w:rPr>
      <w:fldChar w:fldCharType="end"/>
    </w:r>
  </w:p>
  <w:p w:rsidR="007C5CBA" w:rsidRDefault="007C5CBA" w:rsidP="00B22C86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5CBA" w:rsidRDefault="007C5CBA">
      <w:r>
        <w:separator/>
      </w:r>
    </w:p>
  </w:footnote>
  <w:footnote w:type="continuationSeparator" w:id="0">
    <w:p w:rsidR="007C5CBA" w:rsidRDefault="007C5C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2781"/>
    <w:rsid w:val="00005CE3"/>
    <w:rsid w:val="00013954"/>
    <w:rsid w:val="00013A6F"/>
    <w:rsid w:val="00023238"/>
    <w:rsid w:val="00032B08"/>
    <w:rsid w:val="00073C25"/>
    <w:rsid w:val="00080643"/>
    <w:rsid w:val="00093691"/>
    <w:rsid w:val="000A505C"/>
    <w:rsid w:val="000C4173"/>
    <w:rsid w:val="000E379B"/>
    <w:rsid w:val="000F401D"/>
    <w:rsid w:val="00106915"/>
    <w:rsid w:val="001251F1"/>
    <w:rsid w:val="00136C11"/>
    <w:rsid w:val="00166D43"/>
    <w:rsid w:val="001A1D43"/>
    <w:rsid w:val="001B0909"/>
    <w:rsid w:val="001D2A48"/>
    <w:rsid w:val="002449F8"/>
    <w:rsid w:val="00252781"/>
    <w:rsid w:val="002551E6"/>
    <w:rsid w:val="00294B4B"/>
    <w:rsid w:val="002A5F02"/>
    <w:rsid w:val="002E5C2C"/>
    <w:rsid w:val="002F2B2F"/>
    <w:rsid w:val="002F6606"/>
    <w:rsid w:val="00322253"/>
    <w:rsid w:val="0032521D"/>
    <w:rsid w:val="00352948"/>
    <w:rsid w:val="00366069"/>
    <w:rsid w:val="00382083"/>
    <w:rsid w:val="003A0CF8"/>
    <w:rsid w:val="003B27B1"/>
    <w:rsid w:val="003C5260"/>
    <w:rsid w:val="00430E23"/>
    <w:rsid w:val="00441E06"/>
    <w:rsid w:val="004513D6"/>
    <w:rsid w:val="0045369A"/>
    <w:rsid w:val="004B4614"/>
    <w:rsid w:val="004B7CA7"/>
    <w:rsid w:val="004C254B"/>
    <w:rsid w:val="004E0523"/>
    <w:rsid w:val="00504E1A"/>
    <w:rsid w:val="00506448"/>
    <w:rsid w:val="00541CE9"/>
    <w:rsid w:val="00547F7F"/>
    <w:rsid w:val="00577C32"/>
    <w:rsid w:val="005844C2"/>
    <w:rsid w:val="00585803"/>
    <w:rsid w:val="005A7891"/>
    <w:rsid w:val="005B202D"/>
    <w:rsid w:val="005B7B1C"/>
    <w:rsid w:val="005C1B1D"/>
    <w:rsid w:val="005C6F66"/>
    <w:rsid w:val="005D0F95"/>
    <w:rsid w:val="005D72A4"/>
    <w:rsid w:val="006072A4"/>
    <w:rsid w:val="006268A9"/>
    <w:rsid w:val="006D1E60"/>
    <w:rsid w:val="006E3915"/>
    <w:rsid w:val="0070024A"/>
    <w:rsid w:val="007715B4"/>
    <w:rsid w:val="007742A2"/>
    <w:rsid w:val="007B0385"/>
    <w:rsid w:val="007B799B"/>
    <w:rsid w:val="007C5CBA"/>
    <w:rsid w:val="007D0034"/>
    <w:rsid w:val="007D5945"/>
    <w:rsid w:val="007E3D31"/>
    <w:rsid w:val="007F2872"/>
    <w:rsid w:val="0081061E"/>
    <w:rsid w:val="008238B5"/>
    <w:rsid w:val="0084033A"/>
    <w:rsid w:val="00844A2E"/>
    <w:rsid w:val="00845408"/>
    <w:rsid w:val="00882001"/>
    <w:rsid w:val="00893BE7"/>
    <w:rsid w:val="00896206"/>
    <w:rsid w:val="008A6309"/>
    <w:rsid w:val="008C6F1A"/>
    <w:rsid w:val="008D57DC"/>
    <w:rsid w:val="008D7DB2"/>
    <w:rsid w:val="008F247B"/>
    <w:rsid w:val="008F750E"/>
    <w:rsid w:val="008F7795"/>
    <w:rsid w:val="009269C6"/>
    <w:rsid w:val="009318B8"/>
    <w:rsid w:val="009539A4"/>
    <w:rsid w:val="00955491"/>
    <w:rsid w:val="009B22B7"/>
    <w:rsid w:val="009C0E5D"/>
    <w:rsid w:val="009C4F27"/>
    <w:rsid w:val="009D4874"/>
    <w:rsid w:val="009F0B70"/>
    <w:rsid w:val="00A05A05"/>
    <w:rsid w:val="00A06E50"/>
    <w:rsid w:val="00A276E5"/>
    <w:rsid w:val="00A30DBF"/>
    <w:rsid w:val="00A4764E"/>
    <w:rsid w:val="00A65D23"/>
    <w:rsid w:val="00B03DFF"/>
    <w:rsid w:val="00B22C86"/>
    <w:rsid w:val="00B60110"/>
    <w:rsid w:val="00B63EFE"/>
    <w:rsid w:val="00BA09BF"/>
    <w:rsid w:val="00C27885"/>
    <w:rsid w:val="00C8123B"/>
    <w:rsid w:val="00CC3E5D"/>
    <w:rsid w:val="00CD414A"/>
    <w:rsid w:val="00CE11C5"/>
    <w:rsid w:val="00D12683"/>
    <w:rsid w:val="00D14DF9"/>
    <w:rsid w:val="00D302AF"/>
    <w:rsid w:val="00D37E6B"/>
    <w:rsid w:val="00D7474D"/>
    <w:rsid w:val="00DC3565"/>
    <w:rsid w:val="00DE00F6"/>
    <w:rsid w:val="00DE4BE0"/>
    <w:rsid w:val="00DF019E"/>
    <w:rsid w:val="00E0296C"/>
    <w:rsid w:val="00E33748"/>
    <w:rsid w:val="00E36FC8"/>
    <w:rsid w:val="00E457B8"/>
    <w:rsid w:val="00E57F7B"/>
    <w:rsid w:val="00E6541F"/>
    <w:rsid w:val="00E659B5"/>
    <w:rsid w:val="00E90F98"/>
    <w:rsid w:val="00EA7059"/>
    <w:rsid w:val="00EC4D14"/>
    <w:rsid w:val="00ED1B15"/>
    <w:rsid w:val="00EE3E31"/>
    <w:rsid w:val="00F01654"/>
    <w:rsid w:val="00F43608"/>
    <w:rsid w:val="00F60354"/>
    <w:rsid w:val="00FB7BB4"/>
    <w:rsid w:val="00FD1BF6"/>
    <w:rsid w:val="00FF0533"/>
    <w:rsid w:val="00FF2BFF"/>
    <w:rsid w:val="00FF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449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27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A5F0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A5F02"/>
  </w:style>
  <w:style w:type="paragraph" w:styleId="Header">
    <w:name w:val="header"/>
    <w:basedOn w:val="Normal"/>
    <w:rsid w:val="007B0385"/>
    <w:pPr>
      <w:tabs>
        <w:tab w:val="center" w:pos="4536"/>
        <w:tab w:val="right" w:pos="9072"/>
      </w:tabs>
    </w:pPr>
  </w:style>
  <w:style w:type="character" w:styleId="Hyperlink">
    <w:name w:val="Hyperlink"/>
    <w:rsid w:val="00D14D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2449F8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semiHidden/>
    <w:rsid w:val="00C27885"/>
    <w:rPr>
      <w:rFonts w:ascii="Tahoma" w:hAnsi="Tahoma" w:cs="Tahoma"/>
      <w:sz w:val="16"/>
      <w:szCs w:val="16"/>
    </w:rPr>
  </w:style>
  <w:style w:type="paragraph" w:styleId="Footer">
    <w:name w:val="footer"/>
    <w:basedOn w:val="Normal"/>
    <w:rsid w:val="002A5F0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2A5F02"/>
  </w:style>
  <w:style w:type="paragraph" w:styleId="Header">
    <w:name w:val="header"/>
    <w:basedOn w:val="Normal"/>
    <w:rsid w:val="007B0385"/>
    <w:pPr>
      <w:tabs>
        <w:tab w:val="center" w:pos="4536"/>
        <w:tab w:val="right" w:pos="9072"/>
      </w:tabs>
    </w:pPr>
  </w:style>
  <w:style w:type="character" w:styleId="Hyperlink">
    <w:name w:val="Hyperlink"/>
    <w:rsid w:val="00D14D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e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emf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://www.dzs.hr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23ED6-0998-462B-9136-DA363DD5C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4</Pages>
  <Words>447</Words>
  <Characters>3212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METODOLOŠKA OBJAŠNJENJA</vt:lpstr>
    </vt:vector>
  </TitlesOfParts>
  <Company>GRAD ZAGREB</Company>
  <LinksUpToDate>false</LinksUpToDate>
  <CharactersWithSpaces>3652</CharactersWithSpaces>
  <SharedDoc>false</SharedDoc>
  <HLinks>
    <vt:vector size="6" baseType="variant">
      <vt:variant>
        <vt:i4>8061046</vt:i4>
      </vt:variant>
      <vt:variant>
        <vt:i4>0</vt:i4>
      </vt:variant>
      <vt:variant>
        <vt:i4>0</vt:i4>
      </vt:variant>
      <vt:variant>
        <vt:i4>5</vt:i4>
      </vt:variant>
      <vt:variant>
        <vt:lpwstr>http://www.dzs.hr/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METODOLOŠKA OBJAŠNJENJA</dc:title>
  <dc:creator>hperic</dc:creator>
  <cp:lastModifiedBy>HelpDesk</cp:lastModifiedBy>
  <cp:revision>17</cp:revision>
  <cp:lastPrinted>2017-02-22T09:30:00Z</cp:lastPrinted>
  <dcterms:created xsi:type="dcterms:W3CDTF">2017-02-22T08:01:00Z</dcterms:created>
  <dcterms:modified xsi:type="dcterms:W3CDTF">2017-02-23T08:41:00Z</dcterms:modified>
</cp:coreProperties>
</file>